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Satzungszweck und Vorhaben prüfen</w:t>
      </w:r>
    </w:p>
    <w:p>
      <w:r>
        <w:t>Sportverein | Betreutes Sportangebot für neue Mitglieder</w:t>
      </w:r>
    </w:p>
    <w:p>
      <w:r>
        <w:t>Mitglieder tragen Angaben zum tatsächlichen Vorhaben bei. Vorstand und Kasse prüfen Unterlagen, Zuständigkeit und offene Fragen. Dieser Bogen sammelt die Prüfung; er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Tatsächliche Angaben und Nachweise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25"/>
        <w:gridCol w:w="5613"/>
      </w:tblGrid>
      <w:tr>
        <w:trPr>
          <w:cantSplit/>
          <w:trHeight w:val="408"/>
          <w:tblHeader/>
        </w:trPr>
        <w:tc>
          <w:tcPr>
            <w:tcW w:type="dxa" w:w="402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613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oder Verweis</w:t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und Vorhaben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Eigene Satzungsstelle und Fassung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Tatsächliche Tätigkeit und Zielgruppe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Möglicher Zweck in § 52 AO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Allgemeinheit und Zugang zum Angebot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Bescheide mit Datum und Reichweite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Frage und zuständige Person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Entscheidung und nächster Prüftermin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Verein besonders klären</w:t>
      </w:r>
    </w:p>
    <w:p>
      <w:r>
        <w:t>Abteilung und Sportangebot: __________________________________________________</w:t>
      </w:r>
    </w:p>
    <w:p>
      <w:r>
        <w:t>Vereinsnutzung und private Anteile: __________________________________________________</w:t>
      </w:r>
    </w:p>
    <w:p>
      <w:r>
        <w:t>Offenen Punkt mit zuständiger Person und Termin festhalten. Eine leere Zeile bedeutet keine erfolgreiche Prüfung. Nachträgliche Klärungen mit tatsächlichem Datum ergänzen.</w:t>
      </w:r>
    </w:p>
    <w:p>
      <w:pPr>
        <w:pStyle w:val="Heading2"/>
      </w:pPr>
      <w:r>
        <w:t>Grundlage und Grenzen</w:t>
      </w:r>
    </w:p>
    <w:p>
      <w:r>
        <w:t>Satzungszweck, Allgemeinheit und tatsächliche Umsetzung zusammen prüfen. Feststellung der satzungsmäßigen Voraussetzungen und Prüfung der Geschäftsführung unterscheiden. Die Portalzugehörigkeit begründet keine Gemeinnützigkeit.</w:t>
      </w:r>
    </w:p>
    <w:p>
      <w:r>
        <w:rPr>
          <w:sz w:val="16"/>
        </w:rPr>
        <w:t xml:space="preserve">Quelle und vollständiger Gesetzestext § 52 AO · Gesetze im Internet</w:t>
      </w:r>
      <w:hyperlink r:id="rId10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SPO-GESETZ-ZWECK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ao_1977/__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