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Nachweise zum Vorhaben ordnen</w:t>
      </w:r>
    </w:p>
    <w:p>
      <w:r>
        <w:t>Sportverein | Betreutes Sportangebot für neue Mitglieder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Projektkennung und Zeitraum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Satzungsbezug und Beschlussverweis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Tatsächlich durchgeführte Tätigkeit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Einnahmen und Ausgaben 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Zahlungsnachweise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Mittelbindung oder Empfängernachweis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Fehlende Unterlage und Rückfrage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 Termin und tatsächliche Klärung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Abteilung und Sportangebot: __________________________________________________</w:t>
      </w:r>
    </w:p>
    <w:p>
      <w:r>
        <w:t>Vereinsnutzung und private Anteile: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Belege, Zahlungen, Beschlüsse und tatsächliche Tätigkeit miteinander verbinden. Kein Ersatz für vorgeschriebene Aufzeichnungen und keine Berechtigung zur Ausstellung von Zuwendungsbestätigungen.</w:t>
      </w:r>
    </w:p>
    <w:p>
      <w:r>
        <w:rPr>
          <w:sz w:val="16"/>
        </w:rPr>
        <w:t xml:space="preserve">Quelle und vollständiger Gesetzestext § 63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SPO-GESETZ-NACHWEIS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