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Einarbeitung im Sportverein</w:t>
      </w:r>
    </w:p>
    <w:p>
      <w:pPr>
        <w:pStyle w:val="Subtitle"/>
      </w:pPr>
      <w:r>
        <w:t>Arbeitsmappe für die ersten 30 Tage</w:t>
      </w:r>
    </w:p>
    <w:p>
      <w:r>
        <w:t>Stellen Sie zuerst sicher, dass die nächste Sportgruppe organisatorisch betreut werden kann: Wer ist verantwortlich, wer vertritt, welche Räume und Geräte stehen zur Verfügung und wohin gehen Rückfragen? Übernehmen Sie danach Qualifikationsübersicht, Belegungen, Prüfunterlagen und Meldevorgänge mit nachvollziehbarem Stand. Die Mappe ersetzt keine Trainerlizenz oder Geräteprüfung.</w:t>
      </w:r>
    </w:p>
    <w:p>
      <w:r>
        <w:t>Die Mappe eignet sich für Vorstand, Abteilungen und Mitglieder mit Organisationsaufgaben. Halten Sie Unterschiede zwischen Sparten fest. Verbandsregeln und Sportversicherung werden nach tatsächlicher Zugehörigkeit, Region und Vertrag geprüft.</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Aufgabe und Ansprechpartner klären</w:t>
      </w:r>
    </w:p>
    <w:p>
      <w:pPr>
        <w:pStyle w:val="ListBullet"/>
      </w:pPr>
      <w:r>
        <w:t>Vorstand und Abteilung: Entscheidungsbefugnisse, Budget und Rückmeldung anhand Satzung und Ordnungen klären.</w:t>
      </w:r>
    </w:p>
    <w:p>
      <w:pPr>
        <w:pStyle w:val="ListBullet"/>
      </w:pPr>
      <w:r>
        <w:t>Übungs- oder Trainingsleitung: vorhandene Qualifikation, Aufgaben und Vertretungsweg abstimmen.</w:t>
      </w:r>
    </w:p>
    <w:p>
      <w:pPr>
        <w:pStyle w:val="ListBullet"/>
      </w:pPr>
      <w:r>
        <w:t>Sportstättenbetreiber und Geräteverantwortliche: Belegung, Mängelweg und fachliche Freigaben benennen.</w:t>
      </w:r>
    </w:p>
    <w:p>
      <w:pPr>
        <w:pStyle w:val="ListBullet"/>
      </w:pPr>
      <w:r>
        <w:t>Schutzansprechpersonen und Verbandskontakt: Kontaktwege, Meldezuständigkeit und vertrauliche Ablagen unterscheiden.</w:t>
      </w:r>
    </w:p>
    <w:p>
      <w:r>
        <w:t>Notieren Sie Aufgabe, Umfang, Zeitbudget, entscheidende Stelle und erste Ansprechperson. Lassen Sie sich die gültige Satzung, einschlägige Beschlüsse und gegebenenfalls die Beauftragung zeigen. § 26 BGB regelt die Vertretung des Vereins. Eine interne Arbeitsaufgabe allein ist deshalb keine verlässliche Grundlage für eine Unterschrift oder verbindliche Zusage. Bei unklarer Vertretung wird vor einer Zusage nachgefragt.</w:t>
      </w:r>
    </w:p>
    <w:p>
      <w:r>
        <w:t>Verein und übernommene Aufgabe</w:t>
        <w:br/>
        <w:t>________________________________________________________________</w:t>
      </w:r>
    </w:p>
    <w:p>
      <w:r>
        <w:t>Beginn und vereinbarter Zeitumfang</w:t>
        <w:br/>
        <w:t>________________________________________________________________</w:t>
      </w:r>
    </w:p>
    <w:p>
      <w:r>
        <w:t>Begleitperson und Rückfragenkontakt</w:t>
        <w:br/>
        <w:t>________________________________________________________________</w:t>
      </w:r>
    </w:p>
    <w:p>
      <w:pPr>
        <w:pStyle w:val="Heading1"/>
        <w:pageBreakBefore/>
      </w:pPr>
      <w:r>
        <w:t>Fachunterlagen gemeinsam durchgehen</w:t>
      </w:r>
    </w:p>
    <w:p>
      <w:pPr>
        <w:pStyle w:val="Heading2"/>
      </w:pPr>
      <w:r>
        <w:t>Sportgruppen und Vertretung</w:t>
      </w:r>
    </w:p>
    <w:p>
      <w:r>
        <w:t>Angebot, zuständige Leitung, Vertretung und Kontaktweg bei Ausfall erfassen. Aufgaben von Betreuung, Training und reiner Organisation unterscheiden.</w:t>
      </w:r>
    </w:p>
    <w:p>
      <w:pPr>
        <w:pStyle w:val="Heading2"/>
      </w:pPr>
      <w:r>
        <w:t>Qualifikationsübersicht</w:t>
      </w:r>
    </w:p>
    <w:p>
      <w:r>
        <w:t>Vorhandene Qualifikationen und tatsächlich maßgebliche Verlängerungs- oder Fortbildungsdaten nachvollziehen. Fehlende oder ungeklärte Nachweise als offene Punkte behandeln; keine allgemeine Lizenzpflicht aus der Mappe ableiten.</w:t>
      </w:r>
    </w:p>
    <w:p>
      <w:pPr>
        <w:pStyle w:val="Heading2"/>
      </w:pPr>
      <w:r>
        <w:t>Hallen und Geräte</w:t>
      </w:r>
    </w:p>
    <w:p>
      <w:r>
        <w:t>Nutzungsvereinbarung, Belegungsplan, Mängelmeldungen und Prüfunterlagen zuordnen. Eine interne Übergabeliste ersetzt keine erforderliche Prüfung oder Freigabe.</w:t>
      </w:r>
    </w:p>
    <w:p>
      <w:pPr>
        <w:pStyle w:val="Heading2"/>
      </w:pPr>
      <w:r>
        <w:t>Schutz und Meldung</w:t>
      </w:r>
    </w:p>
    <w:p>
      <w:r>
        <w:t>Bestehende Schutzmaßnahmen und zuständige Kontakte zugänglich machen. Vertrauliche Meldungen und personenbezogene Nachweise getrennt von der allgemeinen Einarbeitungsmappe halten.</w:t>
      </w:r>
    </w:p>
    <w:p>
      <w:pPr>
        <w:pStyle w:val="Heading2"/>
      </w:pPr>
      <w:r>
        <w:t>Abteilung und Verband</w:t>
      </w:r>
    </w:p>
    <w:p>
      <w:r>
        <w:t>Beitrags- und Meldeabläufe, Zuständigkeiten zwischen Abteilung und Gesamtverein sowie aktuelle Sport- und Versicherungsunterlagen erfassen. Fristen aus tatsächlichen Vorgaben übernehmen.</w:t>
      </w:r>
    </w:p>
    <w:p>
      <w:pPr>
        <w:pStyle w:val="Heading2"/>
      </w:pPr>
      <w:r>
        <w:t>Ein Beispiel für die Übergabe</w:t>
      </w:r>
    </w:p>
    <w:p>
      <w:r>
        <w:t>Beispiel zur Veranschaulichung: Ein neuer Abteilungsverantwortlicher findet im Kalender eine Kindergruppe ohne dokumentierte Vertretung. Er klärt mit Vorstand und Gruppenleitung Zuständigkeit und erforderliche Voraussetzungen. Ein hilfsbereites Mitglied wird nicht allein wegen seiner Verfügbarkeit als geeignete Trainingsleitung eingetragen. Die vereinbarte Lösung und offene Qualifikationsfragen kommen in den Arbeitsplan.</w:t>
      </w:r>
    </w:p>
    <w:p>
      <w:pPr>
        <w:pStyle w:val="Heading1"/>
        <w:pageBreakBefore/>
      </w:pPr>
      <w:r>
        <w:t>Den ersten Monat organisieren</w:t>
      </w:r>
    </w:p>
    <w:p>
      <w:r>
        <w:t>Die folgenden Zeitfenster sind ein eigener, anpassbarer Organisationsvorschlag. Sie sind keine gesetzliche Frist. Dringende rechtliche, finanzielle, Versorgungs- oder Sicherheitsfragen werden sofort an die zuständigen Personen gegeben und nicht bis zum Ende des Monats aufgeschoben.</w:t>
      </w:r>
    </w:p>
    <w:p>
      <w:pPr>
        <w:pStyle w:val="Heading2"/>
      </w:pPr>
      <w:r>
        <w:t>Tag 1 bis 3</w:t>
      </w:r>
    </w:p>
    <w:p>
      <w:r>
        <w:t>Mit Vorstand, Abteilung und Gruppenleitung nächste Angebote und dringende Ausfälle besprechen.</w:t>
      </w:r>
    </w:p>
    <w:p>
      <w:r>
        <w:t>Ergebnis: Für die nächste Einheit sind Ansprechpartner und offene Fragen benannt.</w:t>
      </w:r>
    </w:p>
    <w:p>
      <w:pPr>
        <w:pStyle w:val="Heading2"/>
      </w:pPr>
      <w:r>
        <w:t>Tag 4 bis 7</w:t>
      </w:r>
    </w:p>
    <w:p>
      <w:r>
        <w:t>Belegung, einen Qualifikationsnachweis und eine Geräteakte gemeinsam nachvollziehen.</w:t>
      </w:r>
    </w:p>
    <w:p>
      <w:r>
        <w:t>Ergebnis: Organisationsstand und fachliche Prüfzuständigkeiten sind getrennt erfasst.</w:t>
      </w:r>
    </w:p>
    <w:p>
      <w:pPr>
        <w:pStyle w:val="Heading2"/>
      </w:pPr>
      <w:r>
        <w:t>Tag 8 bis 14</w:t>
      </w:r>
    </w:p>
    <w:p>
      <w:r>
        <w:t>Eine kleine organisatorische Aufgabe rund um eine Sportstunde begleitet erledigen.</w:t>
      </w:r>
    </w:p>
    <w:p>
      <w:r>
        <w:t>Ergebnis: Information, Materialweg und Rückmeldung wurden erprobt.</w:t>
      </w:r>
    </w:p>
    <w:p>
      <w:pPr>
        <w:pStyle w:val="Heading2"/>
      </w:pPr>
      <w:r>
        <w:t>Tag 15 bis 30</w:t>
      </w:r>
    </w:p>
    <w:p>
      <w:r>
        <w:t>Offene Nachweise und Abstimmungen mit Betreibern oder Verband nachhalten.</w:t>
      </w:r>
    </w:p>
    <w:p>
      <w:r>
        <w:t>Ergebnis: Vertretung, nächste Termine und Unterstützungsbedarf stehen fest.</w:t>
      </w:r>
    </w:p>
    <w:p>
      <w:pPr>
        <w:pStyle w:val="Heading2"/>
      </w:pPr>
      <w:r>
        <w:t>Offene Aufgaben festhalten</w:t>
      </w:r>
    </w:p>
    <w:tbl>
      <w:tblPr>
        <w:tblStyle w:val="TableGrid"/>
        <w:tblW w:type="auto" w:w="0"/>
        <w:jc w:val="center"/>
        <w:tblLayout w:type="fixed"/>
        <w:tblLook w:firstColumn="1" w:firstRow="1" w:lastColumn="0" w:lastRow="0" w:noHBand="0" w:noVBand="1" w:val="04A0"/>
      </w:tblPr>
      <w:tblGrid>
        <w:gridCol w:w="4535"/>
        <w:gridCol w:w="2268"/>
        <w:gridCol w:w="2835"/>
      </w:tblGrid>
      <w:tr>
        <w:trPr>
          <w:tblHeader/>
          <w:cantSplit/>
        </w:trPr>
        <w:tc>
          <w:tcPr>
            <w:tcW w:type="dxa" w:w="4535"/>
            <w:shd w:fill="E7E6E6"/>
          </w:tcPr>
          <w:p>
            <w:pPr>
              <w:spacing w:after="60" w:before="60"/>
            </w:pPr>
            <w:r>
              <w:rPr>
                <w:b/>
                <w:sz w:val="18"/>
              </w:rPr>
              <w:t>Aufgabe und nächster Schritt</w:t>
            </w:r>
          </w:p>
        </w:tc>
        <w:tc>
          <w:tcPr>
            <w:tcW w:type="dxa" w:w="2268"/>
            <w:shd w:fill="E7E6E6"/>
          </w:tcPr>
          <w:p>
            <w:pPr>
              <w:spacing w:after="60" w:before="60"/>
            </w:pPr>
            <w:r>
              <w:rPr>
                <w:b/>
                <w:sz w:val="18"/>
              </w:rPr>
              <w:t>Verantwortlich</w:t>
            </w:r>
          </w:p>
        </w:tc>
        <w:tc>
          <w:tcPr>
            <w:tcW w:type="dxa" w:w="2835"/>
            <w:shd w:fill="E7E6E6"/>
          </w:tcPr>
          <w:p>
            <w:pPr>
              <w:spacing w:after="60" w:before="60"/>
            </w:pPr>
            <w:r>
              <w:rPr>
                <w:b/>
                <w:sz w:val="18"/>
              </w:rPr>
              <w:t>Termin und Status</w:t>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bl>
    <w:p>
      <w:r>
        <w:t>Nicht zutreffende Punkte begründen. Kritische Fragen unmittelbar weitergeben. Eine Aufgabe erst nach nachvollziehbarer Kontrolle als geprüft markieren.</w:t>
      </w:r>
    </w:p>
    <w:p>
      <w:pPr>
        <w:pStyle w:val="Heading1"/>
        <w:pageBreakBefore/>
      </w:pPr>
      <w:r>
        <w:t>Übergabe und nächsten Prüftermin festhalten</w:t>
      </w:r>
    </w:p>
    <w:p>
      <w:r>
        <w:t>In diese Mappe gehören Systemname, zuständige Person, Berechtigungsstand und der Verweis auf einen geschützten Ablageort. Tragen Sie keine Passwörter, Zugangstokens, TAN, Bankzugangsdaten oder vertraulichen Falldetails ein. Prüfen Sie erforderliche Rechte und Vertretungen am tatsächlichen System. Sensible Fachakten bleiben in ihrer dafür vorgesehenen Ablage.</w:t>
      </w:r>
    </w:p>
    <w:tbl>
      <w:tblPr>
        <w:tblStyle w:val="TableGrid"/>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shd w:fill="E7E6E6"/>
          </w:tcPr>
          <w:p>
            <w:pPr>
              <w:spacing w:after="60" w:before="60"/>
            </w:pPr>
            <w:r>
              <w:rPr>
                <w:b/>
                <w:sz w:val="18"/>
              </w:rPr>
              <w:t>Bereich oder Unterlage</w:t>
            </w:r>
          </w:p>
        </w:tc>
        <w:tc>
          <w:tcPr>
            <w:tcW w:type="dxa" w:w="3402"/>
            <w:shd w:fill="E7E6E6"/>
          </w:tcPr>
          <w:p>
            <w:pPr>
              <w:spacing w:after="60" w:before="60"/>
            </w:pPr>
            <w:r>
              <w:rPr>
                <w:b/>
                <w:sz w:val="18"/>
              </w:rPr>
              <w:t>Fundort und berechtigte Rolle</w:t>
            </w:r>
          </w:p>
        </w:tc>
        <w:tc>
          <w:tcPr>
            <w:tcW w:type="dxa" w:w="3402"/>
            <w:shd w:fill="E7E6E6"/>
          </w:tcPr>
          <w:p>
            <w:pPr>
              <w:spacing w:after="60" w:before="60"/>
            </w:pPr>
            <w:r>
              <w:rPr>
                <w:b/>
                <w:sz w:val="18"/>
              </w:rPr>
              <w:t>Status und offene Frage</w:t>
            </w:r>
          </w:p>
        </w:tc>
      </w:tr>
      <w:tr>
        <w:trPr>
          <w:cantSplit/>
        </w:trPr>
        <w:tc>
          <w:tcPr>
            <w:tcW w:type="dxa" w:w="2835"/>
          </w:tcPr>
          <w:p>
            <w:pPr>
              <w:spacing w:after="60" w:before="60"/>
            </w:pPr>
            <w:r>
              <w:rPr>
                <w:sz w:val="18"/>
              </w:rPr>
              <w:t>Sportgruppen und Vertretung</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Qualifikationsübersicht</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Hallen und Geräte</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Schutz und Meldung</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Abteilung und Verband</w:t>
            </w:r>
          </w:p>
        </w:tc>
        <w:tc>
          <w:tcPr>
            <w:tcW w:type="dxa" w:w="3402"/>
          </w:tcPr>
          <w:p>
            <w:pPr>
              <w:spacing w:after="60" w:before="60"/>
            </w:pPr>
            <w:r>
              <w:rPr>
                <w:sz w:val="18"/>
              </w:rPr>
              <w:br/>
            </w:r>
          </w:p>
        </w:tc>
        <w:tc>
          <w:tcPr>
            <w:tcW w:type="dxa" w:w="3402"/>
          </w:tcPr>
          <w:p>
            <w:pPr>
              <w:spacing w:after="60" w:before="60"/>
            </w:pPr>
            <w:r>
              <w:rPr>
                <w:sz w:val="18"/>
              </w:rPr>
              <w:br/>
            </w:r>
          </w:p>
        </w:tc>
      </w:tr>
    </w:tbl>
    <w:p>
      <w:r>
        <w:t>Übergeben von und übernommen von</w:t>
        <w:br/>
        <w:t>________________________________________________________________</w:t>
      </w:r>
    </w:p>
    <w:p>
      <w:r>
        <w:t>Datum und nächster gemeinsamer Prüftermin</w:t>
        <w:br/>
        <w:t>________________________________________________________________</w:t>
      </w:r>
    </w:p>
    <w:p>
      <w:r>
        <w:t>Diese Bestätigung hält den dokumentierten Übergabestand fest. Sie bestätigt keine Vollständigkeit unbekannter Bestände, ersetzt keine Fachprüfung und bewirkt keine pauschale Entlastung.</w:t>
      </w:r>
    </w:p>
    <w:p>
      <w:pPr>
        <w:pStyle w:val="Heading2"/>
      </w:pPr>
      <w:r>
        <w:t>Mit einer kleinen Aufgabe beginnen</w:t>
      </w:r>
    </w:p>
    <w:p>
      <w:r>
        <w:t>Sie können mit Materialbereitstellung, Terminabstimmung oder einer anderen klar begrenzten Aufgabe beginnen. Vereinbaren Sie Einweisung, zeitlichen Umfang und Rückfragenkontakt. Für Training, Betreuung oder Zugang zu sensiblen Daten wird gesondert geprüft, was erforderlich ist.</w:t>
      </w:r>
    </w:p>
    <w:p>
      <w:pPr>
        <w:pStyle w:val="Heading2"/>
      </w:pPr>
      <w:r>
        <w:t>Gesetze und öffentliche Stellen</w:t>
      </w:r>
    </w:p>
    <w:p>
      <w:hyperlink r:id="rId9">
        <w:r>
          <w:t>Vorstand und Vertretung nach § 26 BGB</w:t>
        </w:r>
      </w:hyperlink>
    </w:p>
    <w:p>
      <w:r>
        <w:t>Stand: Oktober 2026</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esetze-im-internet.de/bgb/__26.html" TargetMode="External"/><Relationship Id="rId10" Type="http://schemas.openxmlformats.org/officeDocument/2006/relationships/hyperlink" Target="https://www.vibss.de/vereinsmanagement/" TargetMode="External"/><Relationship Id="rId11" Type="http://schemas.openxmlformats.org/officeDocument/2006/relationships/hyperlink" Target="https://www.verbandsbuero.de/checklisten-vorlage/vorstandswechsel-ohne-chaos/" TargetMode="External"/><Relationship Id="rId12" Type="http://schemas.openxmlformats.org/officeDocument/2006/relationships/hyperlink" Target="https://www.verbandsbuero.de/checklisten-vorlage/vereins-notfallma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Einarbeitung im Sportverein</dc:title>
  <dc:subject>SPO-025 | P03-01 | Fassung 1.0 | 21.10.2026</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